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【Z7007126000040】</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【2026.02】</w:t>
      </w:r>
    </w:p>
    <w:p>
      <w:pPr>
        <w:ind w:firstLine="720"/>
        <w:jc w:val="center"/>
        <w:rPr>
          <w:rFonts w:ascii="黑体" w:hAnsi="黑体" w:eastAsia="黑体"/>
          <w:b/>
          <w:bCs/>
          <w:sz w:val="36"/>
          <w:u w:val="none"/>
        </w:rPr>
      </w:pPr>
    </w:p>
    <w:p>
      <w:pPr>
        <w:pStyle w:val="2"/>
        <w:spacing w:after="0" w:line="360" w:lineRule="auto"/>
        <w:jc w:val="center"/>
        <w:rPr>
          <w:rFonts w:ascii="黑体" w:hAnsi="黑体" w:eastAsia="黑体" w:cs="黑体"/>
          <w:color w:val="auto"/>
          <w:sz w:val="36"/>
          <w:szCs w:val="36"/>
          <w:u w:val="none"/>
        </w:rPr>
      </w:pPr>
      <w:r>
        <w:rPr>
          <w:rFonts w:hint="eastAsia" w:ascii="黑体" w:hAnsi="黑体" w:eastAsia="黑体" w:cs="黑体"/>
          <w:sz w:val="32"/>
          <w:szCs w:val="32"/>
          <w:u w:val="none"/>
          <w:lang w:eastAsia="zh-CN"/>
        </w:rPr>
        <w:t>【上银理财“易享利”系列开放式持有期理财产品WPEK26D2809期】</w:t>
      </w:r>
    </w:p>
    <w:p>
      <w:pPr>
        <w:ind w:firstLine="0"/>
        <w:jc w:val="center"/>
        <w:outlineLvl w:val="0"/>
        <w:rPr>
          <w:rFonts w:hint="eastAsia" w:ascii="黑体" w:hAnsi="黑体" w:eastAsia="黑体" w:cs="黑体"/>
          <w:b/>
          <w:bCs/>
          <w:color w:val="auto"/>
          <w:kern w:val="44"/>
          <w:sz w:val="32"/>
          <w:szCs w:val="32"/>
          <w:u w:val="none"/>
        </w:rPr>
      </w:pPr>
      <w:r>
        <w:rPr>
          <w:rFonts w:hint="eastAsia" w:ascii="黑体" w:hAnsi="黑体" w:eastAsia="黑体" w:cs="黑体"/>
          <w:b/>
          <w:bCs/>
          <w:color w:val="auto"/>
          <w:kern w:val="44"/>
          <w:sz w:val="32"/>
          <w:szCs w:val="32"/>
          <w:u w:val="none"/>
        </w:rPr>
        <w:t>风险揭示书</w:t>
      </w:r>
    </w:p>
    <w:p>
      <w:pPr>
        <w:ind w:firstLine="720"/>
        <w:jc w:val="center"/>
        <w:outlineLvl w:val="0"/>
        <w:rPr>
          <w:rFonts w:ascii="黑体" w:hAnsi="黑体" w:eastAsia="黑体"/>
          <w:b/>
          <w:bCs/>
          <w:sz w:val="28"/>
          <w:u w:val="none"/>
        </w:rPr>
      </w:pPr>
      <w:r>
        <w:rPr>
          <w:rFonts w:hint="eastAsia" w:ascii="黑体" w:hAnsi="黑体" w:eastAsia="黑体"/>
          <w:b/>
          <w:bCs/>
          <w:color w:val="auto"/>
          <w:sz w:val="28"/>
          <w:u w:val="none"/>
        </w:rPr>
        <w:t>（产品代码</w:t>
      </w:r>
      <w:r>
        <w:rPr>
          <w:rFonts w:ascii="黑体" w:hAnsi="黑体" w:eastAsia="黑体"/>
          <w:b/>
          <w:bCs/>
          <w:color w:val="auto"/>
          <w:sz w:val="28"/>
          <w:u w:val="none"/>
        </w:rPr>
        <w:t>：</w:t>
      </w:r>
      <w:r>
        <w:rPr>
          <w:rFonts w:hint="eastAsia" w:ascii="黑体" w:hAnsi="黑体" w:eastAsia="黑体"/>
          <w:b/>
          <w:bCs/>
          <w:color w:val="auto"/>
          <w:sz w:val="28"/>
          <w:u w:val="none"/>
          <w:lang w:eastAsia="zh-CN"/>
        </w:rPr>
        <w:t>【WPEK26D2809】</w:t>
      </w:r>
      <w:r>
        <w:rPr>
          <w:rFonts w:hint="eastAsia" w:ascii="黑体" w:hAnsi="黑体" w:eastAsia="黑体"/>
          <w:b/>
          <w:bCs/>
          <w:sz w:val="28"/>
          <w:u w:val="none"/>
        </w:rPr>
        <w:t>）</w:t>
      </w:r>
    </w:p>
    <w:p>
      <w:pPr>
        <w:snapToGrid w:val="0"/>
        <w:spacing w:line="360" w:lineRule="auto"/>
        <w:rPr>
          <w:rFonts w:hint="eastAsia" w:ascii="楷体" w:hAnsi="楷体" w:eastAsia="楷体" w:cs="楷体"/>
          <w:b/>
          <w:bCs/>
          <w:szCs w:val="21"/>
          <w:u w:val="none"/>
        </w:rPr>
      </w:pPr>
      <w:r>
        <w:rPr>
          <w:rFonts w:hint="eastAsia" w:ascii="楷体" w:hAnsi="楷体" w:eastAsia="楷体" w:cs="楷体"/>
          <w:b/>
          <w:bCs/>
          <w:szCs w:val="21"/>
          <w:u w:val="none"/>
        </w:rPr>
        <w:t>尊敬的客户：</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一、风险揭示</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color w:val="C00000"/>
          <w:szCs w:val="21"/>
          <w:u w:val="none"/>
        </w:rPr>
        <w:t>理财非存款、产品有风险、投资须谨慎。</w:t>
      </w:r>
      <w:r>
        <w:rPr>
          <w:rFonts w:hint="eastAsia" w:ascii="楷体" w:hAnsi="楷体" w:eastAsia="楷体" w:cs="楷体"/>
          <w:b/>
          <w:bCs/>
          <w:szCs w:val="21"/>
          <w:u w:val="none"/>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w:t>
      </w:r>
      <w:r>
        <w:rPr>
          <w:rFonts w:hint="eastAsia" w:ascii="楷体" w:hAnsi="楷体" w:eastAsia="楷体" w:cs="楷体"/>
          <w:b/>
          <w:bCs/>
          <w:spacing w:val="20"/>
          <w:sz w:val="21"/>
          <w:szCs w:val="21"/>
          <w:u w:val="none"/>
        </w:rPr>
        <w:t>险：</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（一）本金及理财收益风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u w:val="none"/>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ascii="楷体_GB2312" w:hAnsi="宋体" w:eastAsia="楷体_GB2312"/>
          <w:b/>
          <w:bCs/>
          <w:szCs w:val="21"/>
          <w:u w:val="none"/>
        </w:rPr>
      </w:pPr>
      <w:r>
        <w:rPr>
          <w:rFonts w:hint="eastAsia" w:ascii="楷体" w:hAnsi="楷体" w:eastAsia="楷体" w:cs="楷体"/>
          <w:b/>
          <w:bCs/>
          <w:szCs w:val="21"/>
          <w:u w:val="none"/>
        </w:rPr>
        <w:t>（二）信用风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本理财产品部分资产可能投资于标准化债权资产、权益类资产等，因此有可能由于发行主体或交易对手信用状况恶化导致交易违约，致使本理财产品到期实际收益不足业绩比较基准，</w:t>
      </w:r>
      <w:r>
        <w:rPr>
          <w:rFonts w:hint="eastAsia" w:ascii="楷体" w:hAnsi="楷体" w:eastAsia="楷体" w:cs="楷体"/>
          <w:b/>
          <w:bCs/>
          <w:szCs w:val="21"/>
          <w:u w:val="none"/>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b w:val="0"/>
          <w:bCs w:val="0"/>
          <w:szCs w:val="21"/>
          <w:u w:val="none"/>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（三）市场风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（四）管理人风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（五）政策风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本理财产品是针对当前的相关法规和政策设计的，如国家宏观政策以及市场相关法规政策等发生变化，可能影响本理财产品的受理、投资、偿还等的正常进行，</w:t>
      </w:r>
      <w:r>
        <w:rPr>
          <w:rFonts w:hint="eastAsia" w:ascii="楷体" w:hAnsi="楷体" w:eastAsia="楷体" w:cs="楷体"/>
          <w:b/>
          <w:bCs/>
          <w:szCs w:val="21"/>
          <w:u w:val="none"/>
        </w:rPr>
        <w:t>导致本理财产品收益降低甚至本金损失。</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（六）理财产品不成立风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规定向投资者提供本理财产品，管理人有权宣布本理财产品不成立。</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（七）延期风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如因理财产品所投资的标的资产因市场风险、流动性风险、信用风险等原因造成产品不能按时还本付息，理财期限将相应延长。如管理人延长理财产品期限，将通过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“信息披露”约定的信息披露渠道向投资者发布信息公告。</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szCs w:val="21"/>
          <w:u w:val="none"/>
        </w:rPr>
        <w:t>（八）投</w:t>
      </w:r>
      <w:r>
        <w:rPr>
          <w:rFonts w:hint="eastAsia" w:ascii="楷体" w:hAnsi="楷体" w:eastAsia="楷体" w:cs="楷体"/>
          <w:b/>
          <w:bCs/>
          <w:color w:val="auto"/>
          <w:szCs w:val="21"/>
          <w:u w:val="none"/>
        </w:rPr>
        <w:t>资者资金流动性风</w:t>
      </w:r>
      <w:r>
        <w:rPr>
          <w:rFonts w:hint="eastAsia" w:ascii="楷体" w:hAnsi="楷体" w:eastAsia="楷体" w:cs="楷体"/>
          <w:b/>
          <w:bCs/>
          <w:spacing w:val="20"/>
          <w:sz w:val="21"/>
          <w:szCs w:val="21"/>
          <w:u w:val="none"/>
        </w:rPr>
        <w:t>险：</w:t>
      </w:r>
      <w:r>
        <w:rPr>
          <w:rFonts w:hint="eastAsia" w:ascii="楷体" w:hAnsi="楷体" w:eastAsia="楷体" w:cs="楷体"/>
          <w:b/>
          <w:bCs/>
          <w:color w:val="auto"/>
          <w:szCs w:val="21"/>
          <w:u w:val="none"/>
        </w:rPr>
        <w:t>本理财产品</w:t>
      </w:r>
      <w:r>
        <w:rPr>
          <w:rFonts w:hint="eastAsia" w:ascii="楷体" w:hAnsi="楷体" w:eastAsia="楷体" w:cs="楷体"/>
          <w:b/>
          <w:bCs/>
          <w:color w:val="auto"/>
          <w:szCs w:val="21"/>
          <w:u w:val="none"/>
          <w:lang w:val="en-US" w:eastAsia="zh-CN"/>
        </w:rPr>
        <w:t>期限为【70年】</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【在理财产品存续期内，除投资封闭期外每一自然日为产品开放日】，</w:t>
      </w:r>
      <w:r>
        <w:rPr>
          <w:rFonts w:hint="eastAsia" w:ascii="楷体" w:hAnsi="楷体" w:eastAsia="楷体" w:cs="楷体"/>
          <w:b/>
          <w:bCs/>
          <w:color w:val="auto"/>
          <w:szCs w:val="21"/>
          <w:lang w:val="en-US" w:eastAsia="zh-CN"/>
        </w:rPr>
        <w:t>投资者可在产品开放日内办理申购，</w:t>
      </w:r>
      <w:r>
        <w:rPr>
          <w:rFonts w:hint="eastAsia" w:ascii="楷体" w:hAnsi="楷体" w:eastAsia="楷体" w:cs="楷体"/>
          <w:b/>
          <w:bCs/>
          <w:color w:val="auto"/>
          <w:szCs w:val="21"/>
          <w:u w:val="none"/>
          <w:lang w:val="en-US" w:eastAsia="zh-CN"/>
        </w:rPr>
        <w:t>但</w:t>
      </w:r>
      <w:r>
        <w:rPr>
          <w:rFonts w:hint="eastAsia" w:ascii="楷体" w:hAnsi="楷体" w:eastAsia="楷体" w:cs="楷体"/>
          <w:b/>
          <w:bCs/>
          <w:color w:val="auto"/>
          <w:szCs w:val="21"/>
          <w:u w:val="none"/>
        </w:rPr>
        <w:t>只能在持有本理财产品相应份额达到</w:t>
      </w:r>
      <w:r>
        <w:rPr>
          <w:rFonts w:hint="eastAsia" w:ascii="楷体" w:hAnsi="楷体" w:eastAsia="楷体" w:cs="楷体"/>
          <w:b/>
          <w:bCs/>
          <w:color w:val="auto"/>
          <w:szCs w:val="21"/>
          <w:u w:val="none"/>
          <w:lang w:eastAsia="zh-CN"/>
        </w:rPr>
        <w:t>【28】</w:t>
      </w:r>
      <w:r>
        <w:rPr>
          <w:rFonts w:hint="eastAsia" w:ascii="楷体" w:hAnsi="楷体" w:eastAsia="楷体" w:cs="楷体"/>
          <w:b/>
          <w:bCs/>
          <w:color w:val="auto"/>
          <w:szCs w:val="21"/>
          <w:u w:val="none"/>
        </w:rPr>
        <w:t>个自然日的最短持有期后</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由于最短持有期结束日若为非</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则自动顺延至下一</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等原因，每个最短持有期实际上可能长于</w:t>
      </w:r>
      <w:r>
        <w:rPr>
          <w:rFonts w:hint="eastAsia" w:ascii="楷体" w:hAnsi="楷体" w:eastAsia="楷体" w:cs="楷体"/>
          <w:b/>
          <w:bCs/>
          <w:color w:val="auto"/>
          <w:szCs w:val="21"/>
          <w:u w:val="none"/>
          <w:lang w:eastAsia="zh-CN"/>
        </w:rPr>
        <w:t>【28】</w:t>
      </w:r>
      <w:r>
        <w:rPr>
          <w:rFonts w:hint="eastAsia" w:ascii="楷体" w:hAnsi="楷体" w:eastAsia="楷体" w:cs="楷体"/>
          <w:b/>
          <w:bCs/>
          <w:color w:val="auto"/>
          <w:szCs w:val="21"/>
          <w:u w:val="none"/>
          <w:lang w:val="en-US" w:eastAsia="zh-CN"/>
        </w:rPr>
        <w:t>个自然日</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，才能在</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产品说明书</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规定的开放日内办理赎回。</w:t>
      </w:r>
      <w:r>
        <w:rPr>
          <w:rFonts w:hint="eastAsia" w:ascii="楷体" w:hAnsi="楷体" w:eastAsia="楷体" w:cs="楷体"/>
          <w:b w:val="0"/>
          <w:bCs w:val="0"/>
          <w:color w:val="auto"/>
          <w:szCs w:val="21"/>
          <w:u w:val="none"/>
        </w:rPr>
        <w:t>在理财产品存续期内，若理财产品任一开放日净赎回</w:t>
      </w:r>
      <w:r>
        <w:rPr>
          <w:rFonts w:hint="eastAsia" w:ascii="楷体" w:hAnsi="楷体" w:eastAsia="楷体" w:cs="楷体"/>
          <w:b w:val="0"/>
          <w:bCs w:val="0"/>
          <w:color w:val="auto"/>
          <w:szCs w:val="21"/>
          <w:u w:val="none"/>
          <w:lang w:val="en-US" w:eastAsia="zh-CN"/>
        </w:rPr>
        <w:t>申请份</w:t>
      </w:r>
      <w:r>
        <w:rPr>
          <w:rFonts w:hint="eastAsia" w:ascii="楷体" w:hAnsi="楷体" w:eastAsia="楷体" w:cs="楷体"/>
          <w:b w:val="0"/>
          <w:bCs w:val="0"/>
          <w:color w:val="auto"/>
          <w:szCs w:val="21"/>
          <w:u w:val="none"/>
        </w:rPr>
        <w:t>额（赎回申请份额总数扣除申购申请份额总数）超过本理财产品上一</w:t>
      </w:r>
      <w:r>
        <w:rPr>
          <w:rFonts w:hint="eastAsia" w:ascii="楷体" w:hAnsi="楷体" w:eastAsia="楷体" w:cs="楷体"/>
          <w:b w:val="0"/>
          <w:bCs w:val="0"/>
          <w:color w:val="auto"/>
          <w:szCs w:val="21"/>
          <w:u w:val="none"/>
          <w:lang w:val="en-US" w:eastAsia="zh-CN"/>
        </w:rPr>
        <w:t>【交易日】</w:t>
      </w:r>
      <w:r>
        <w:rPr>
          <w:rFonts w:hint="eastAsia" w:ascii="楷体" w:hAnsi="楷体" w:eastAsia="楷体" w:cs="楷体"/>
          <w:b w:val="0"/>
          <w:bCs w:val="0"/>
          <w:color w:val="auto"/>
          <w:szCs w:val="21"/>
          <w:u w:val="none"/>
        </w:rPr>
        <w:t>日终份额的10%时，即为发生巨额赎回。</w:t>
      </w:r>
      <w:r>
        <w:rPr>
          <w:rFonts w:hint="eastAsia" w:ascii="楷体" w:hAnsi="楷体" w:eastAsia="楷体" w:cs="楷体"/>
          <w:b/>
          <w:bCs/>
          <w:color w:val="auto"/>
          <w:szCs w:val="21"/>
          <w:u w:val="none"/>
        </w:rPr>
        <w:t>出现巨额赎回时，管理人有权依照理财产品当时的资产组合状况选择全额赎回、部分赎回或延缓支付，由此可能影响投资者的资金流动性安排，带来流动性风险。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（九）提前终止风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（十）信息传递风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产品认购期和</w:t>
      </w:r>
      <w:r>
        <w:rPr>
          <w:rFonts w:hint="eastAsia" w:ascii="楷体" w:hAnsi="楷体" w:eastAsia="楷体" w:cs="楷体"/>
          <w:b w:val="0"/>
          <w:bCs w:val="0"/>
          <w:szCs w:val="21"/>
          <w:u w:val="none"/>
        </w:rPr>
        <w:t>存续期间，</w:t>
      </w:r>
      <w:r>
        <w:rPr>
          <w:rFonts w:hint="eastAsia" w:ascii="楷体" w:hAnsi="楷体" w:eastAsia="楷体" w:cs="楷体"/>
          <w:b w:val="0"/>
          <w:bCs w:val="0"/>
          <w:szCs w:val="21"/>
          <w:u w:val="none"/>
          <w:lang w:val="en-US" w:eastAsia="zh-CN"/>
        </w:rPr>
        <w:t>将通过产品管理人官方网站或</w:t>
      </w:r>
      <w:r>
        <w:rPr>
          <w:rFonts w:hint="eastAsia" w:ascii="楷体" w:hAnsi="楷体" w:eastAsia="楷体" w:cs="楷体"/>
          <w:b w:val="0"/>
          <w:bCs w:val="0"/>
          <w:szCs w:val="21"/>
          <w:u w:val="none"/>
        </w:rPr>
        <w:t>销售机构的信息披露渠道（包括但不限于销售机构的营业网点、门户网站、电子销售渠道等）</w:t>
      </w:r>
      <w:r>
        <w:rPr>
          <w:rFonts w:hint="eastAsia" w:ascii="楷体" w:hAnsi="楷体" w:eastAsia="楷体" w:cs="楷体"/>
          <w:b w:val="0"/>
          <w:bCs w:val="0"/>
          <w:szCs w:val="21"/>
          <w:u w:val="none"/>
          <w:lang w:val="en-US" w:eastAsia="zh-CN"/>
        </w:rPr>
        <w:t>进行</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（十一）不可抗力及意外事件风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b w:val="0"/>
          <w:bCs w:val="0"/>
          <w:szCs w:val="21"/>
          <w:u w:val="none"/>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u w:val="none"/>
        </w:rPr>
        <w:t>投资者须自行承担，</w:t>
      </w:r>
      <w:r>
        <w:rPr>
          <w:rFonts w:hint="eastAsia" w:ascii="楷体" w:hAnsi="楷体" w:eastAsia="楷体" w:cs="楷体"/>
          <w:b w:val="0"/>
          <w:bCs w:val="0"/>
          <w:szCs w:val="21"/>
          <w:u w:val="none"/>
        </w:rPr>
        <w:t>管理人对此不承担责任。</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（十二）税收风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净值或实际收益降低，从而降低产品投资人的收益水平。</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（十三）估值风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本理财产品按《产品说明书》的估值方法进行估值</w:t>
      </w:r>
      <w:r>
        <w:rPr>
          <w:rFonts w:hint="eastAsia" w:ascii="楷体" w:hAnsi="楷体" w:eastAsia="楷体" w:cs="楷体"/>
          <w:b w:val="0"/>
          <w:bCs w:val="0"/>
          <w:szCs w:val="21"/>
          <w:u w:val="none"/>
          <w:lang w:eastAsia="zh-CN"/>
        </w:rPr>
        <w:t>，</w:t>
      </w:r>
      <w:r>
        <w:rPr>
          <w:rFonts w:hint="eastAsia" w:ascii="楷体" w:hAnsi="楷体" w:eastAsia="楷体" w:cs="楷体"/>
          <w:b/>
          <w:bCs/>
          <w:szCs w:val="21"/>
          <w:u w:val="none"/>
        </w:rPr>
        <w:t>理财产品估值与实际变现价值可能发生偏离，投资者应知晓该风险。</w:t>
      </w:r>
      <w:r>
        <w:rPr>
          <w:rFonts w:hint="eastAsia" w:ascii="楷体" w:hAnsi="楷体" w:eastAsia="楷体" w:cs="楷体"/>
          <w:b w:val="0"/>
          <w:bCs w:val="0"/>
          <w:szCs w:val="21"/>
          <w:u w:val="none"/>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 w:val="21"/>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四</w:t>
      </w:r>
      <w:r>
        <w:rPr>
          <w:rFonts w:hint="eastAsia" w:ascii="楷体" w:hAnsi="楷体" w:eastAsia="楷体" w:cs="楷体"/>
          <w:b/>
          <w:bCs/>
          <w:szCs w:val="21"/>
          <w:u w:val="none"/>
        </w:rPr>
        <w:t>）</w:t>
      </w:r>
      <w:r>
        <w:rPr>
          <w:rFonts w:hint="eastAsia" w:ascii="楷体" w:hAnsi="楷体" w:eastAsia="楷体" w:cs="楷体"/>
          <w:b/>
          <w:bCs/>
          <w:szCs w:val="21"/>
          <w:u w:val="none"/>
          <w:lang w:val="en-US" w:eastAsia="zh-CN"/>
        </w:rPr>
        <w:t>代销</w:t>
      </w:r>
      <w:r>
        <w:rPr>
          <w:rFonts w:hint="eastAsia" w:ascii="楷体" w:hAnsi="楷体" w:eastAsia="楷体" w:cs="楷体"/>
          <w:b/>
          <w:bCs/>
          <w:szCs w:val="21"/>
          <w:u w:val="none"/>
        </w:rPr>
        <w:t>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sz w:val="21"/>
          <w:szCs w:val="21"/>
          <w:u w:val="none"/>
        </w:rPr>
        <w:t>本理财产品若通过非产品管理人自有渠道进行销售的属于代理销售，认购/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五</w:t>
      </w:r>
      <w:r>
        <w:rPr>
          <w:rFonts w:hint="eastAsia" w:ascii="楷体" w:hAnsi="楷体" w:eastAsia="楷体" w:cs="楷体"/>
          <w:b/>
          <w:bCs/>
          <w:szCs w:val="21"/>
          <w:u w:val="none"/>
        </w:rPr>
        <w:t>）</w:t>
      </w:r>
      <w:r>
        <w:rPr>
          <w:rFonts w:hint="eastAsia" w:ascii="楷体" w:hAnsi="楷体" w:eastAsia="楷体" w:cs="楷体"/>
          <w:b/>
          <w:bCs/>
          <w:color w:val="auto"/>
          <w:szCs w:val="21"/>
          <w:highlight w:val="none"/>
          <w:u w:val="none"/>
          <w:lang w:val="en-US" w:eastAsia="zh-CN"/>
        </w:rPr>
        <w:t>不同理财产品份额类别存在差异的风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sz w:val="21"/>
          <w:szCs w:val="21"/>
          <w:u w:val="none"/>
        </w:rPr>
        <w:t>理财产品管理人可根据投资者购买理财产品的金额、</w:t>
      </w:r>
      <w:r>
        <w:rPr>
          <w:rFonts w:hint="eastAsia" w:ascii="楷体" w:hAnsi="楷体" w:eastAsia="楷体" w:cs="楷体"/>
          <w:sz w:val="21"/>
          <w:szCs w:val="21"/>
          <w:u w:val="none"/>
          <w:lang w:val="en-US" w:eastAsia="zh-CN"/>
        </w:rPr>
        <w:t>投资者类型、</w:t>
      </w:r>
      <w:r>
        <w:rPr>
          <w:rFonts w:hint="eastAsia" w:ascii="楷体" w:hAnsi="楷体" w:eastAsia="楷体" w:cs="楷体"/>
          <w:sz w:val="21"/>
          <w:szCs w:val="21"/>
          <w:u w:val="none"/>
        </w:rPr>
        <w:t>销售渠道等因素，对理财投资者所持有的理财产品设置不同理财产品份额类别。不同类别的理财产品份额</w:t>
      </w:r>
      <w:r>
        <w:rPr>
          <w:rFonts w:hint="eastAsia" w:ascii="楷体" w:hAnsi="楷体" w:eastAsia="楷体" w:cs="楷体"/>
          <w:sz w:val="21"/>
          <w:szCs w:val="21"/>
          <w:u w:val="none"/>
          <w:lang w:val="en-US" w:eastAsia="zh-CN"/>
        </w:rPr>
        <w:t>可能</w:t>
      </w:r>
      <w:r>
        <w:rPr>
          <w:rFonts w:hint="eastAsia" w:ascii="楷体" w:hAnsi="楷体" w:eastAsia="楷体" w:cs="楷体"/>
          <w:sz w:val="21"/>
          <w:szCs w:val="21"/>
          <w:u w:val="none"/>
        </w:rPr>
        <w:t>在</w:t>
      </w:r>
      <w:r>
        <w:rPr>
          <w:rFonts w:hint="eastAsia" w:ascii="楷体" w:hAnsi="楷体" w:eastAsia="楷体" w:cs="楷体"/>
          <w:sz w:val="21"/>
          <w:szCs w:val="21"/>
          <w:u w:val="none"/>
          <w:lang w:val="en-US" w:eastAsia="zh-CN"/>
        </w:rPr>
        <w:t>产品</w:t>
      </w:r>
      <w:r>
        <w:rPr>
          <w:rFonts w:hint="eastAsia" w:ascii="楷体" w:hAnsi="楷体" w:eastAsia="楷体" w:cs="楷体"/>
          <w:sz w:val="21"/>
          <w:szCs w:val="21"/>
          <w:u w:val="none"/>
        </w:rPr>
        <w:t>销售名称、销售代码、销售</w:t>
      </w:r>
      <w:r>
        <w:rPr>
          <w:rFonts w:hint="eastAsia" w:ascii="楷体" w:hAnsi="楷体" w:eastAsia="楷体" w:cs="楷体"/>
          <w:sz w:val="21"/>
          <w:szCs w:val="21"/>
          <w:u w:val="none"/>
          <w:lang w:val="en-US" w:eastAsia="zh-CN"/>
        </w:rPr>
        <w:t>机构</w:t>
      </w:r>
      <w:r>
        <w:rPr>
          <w:rFonts w:hint="eastAsia" w:ascii="楷体" w:hAnsi="楷体" w:eastAsia="楷体" w:cs="楷体"/>
          <w:sz w:val="21"/>
          <w:szCs w:val="21"/>
          <w:u w:val="none"/>
        </w:rPr>
        <w:t>、</w:t>
      </w:r>
      <w:r>
        <w:rPr>
          <w:rFonts w:hint="eastAsia" w:ascii="楷体" w:hAnsi="楷体" w:eastAsia="楷体" w:cs="楷体"/>
          <w:sz w:val="21"/>
          <w:szCs w:val="21"/>
          <w:u w:val="none"/>
          <w:lang w:val="en-US" w:eastAsia="zh-CN"/>
        </w:rPr>
        <w:t>发售对象、费率设置等</w:t>
      </w:r>
      <w:r>
        <w:rPr>
          <w:rFonts w:hint="eastAsia" w:ascii="楷体" w:hAnsi="楷体" w:eastAsia="楷体" w:cs="楷体"/>
          <w:sz w:val="21"/>
          <w:szCs w:val="21"/>
          <w:u w:val="none"/>
        </w:rPr>
        <w:t>方面存在差异。</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六</w:t>
      </w:r>
      <w:r>
        <w:rPr>
          <w:rFonts w:hint="eastAsia" w:ascii="楷体" w:hAnsi="楷体" w:eastAsia="楷体" w:cs="楷体"/>
          <w:b/>
          <w:bCs/>
          <w:szCs w:val="21"/>
          <w:u w:val="none"/>
        </w:rPr>
        <w:t>）《产品说明书》修改风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b w:val="0"/>
          <w:bCs w:val="0"/>
          <w:szCs w:val="21"/>
          <w:u w:val="none"/>
        </w:rPr>
        <w:t>将提前</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个工作日根据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“信息披露”约定的信息披露方式进行公告。</w:t>
      </w:r>
      <w:bookmarkEnd w:id="0"/>
      <w:r>
        <w:rPr>
          <w:rFonts w:hint="eastAsia" w:ascii="楷体" w:hAnsi="楷体" w:eastAsia="楷体" w:cs="楷体"/>
          <w:b w:val="0"/>
          <w:bCs w:val="0"/>
          <w:szCs w:val="21"/>
          <w:u w:val="none"/>
        </w:rPr>
        <w:t>其中，对于投资者利益产生实质影响的事项（如对投资范围、投资品种、投资比例进行调整等），客户如对补充或修改后的</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u w:val="none"/>
        </w:rPr>
        <w:t>逾期未赎回的视为同意。</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七</w:t>
      </w:r>
      <w:r>
        <w:rPr>
          <w:rFonts w:hint="eastAsia" w:ascii="楷体" w:hAnsi="楷体" w:eastAsia="楷体" w:cs="楷体"/>
          <w:b/>
          <w:bCs/>
          <w:szCs w:val="21"/>
          <w:u w:val="none"/>
        </w:rPr>
        <w:t>）设置建仓期的风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十八）特定投资标的风险</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1.货币市场工具投资风</w:t>
      </w:r>
      <w:r>
        <w:rPr>
          <w:rFonts w:hint="eastAsia" w:ascii="楷体" w:hAnsi="楷体" w:eastAsia="楷体" w:cs="楷体"/>
          <w:b/>
          <w:bCs/>
          <w:spacing w:val="20"/>
          <w:sz w:val="21"/>
          <w:szCs w:val="21"/>
          <w:u w:val="none"/>
          <w:lang w:val="en-US" w:eastAsia="zh-CN"/>
        </w:rPr>
        <w:t>险：</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2．标准化债权资产投资风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3.权益类资产投资风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4.商品和金融衍生品类资产投资风险</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5.资产管理产品投资风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p>
    <w:p>
      <w:pPr>
        <w:snapToGrid w:val="0"/>
        <w:spacing w:line="360" w:lineRule="auto"/>
        <w:ind w:firstLine="422" w:firstLineChars="200"/>
        <w:outlineLvl w:val="0"/>
        <w:rPr>
          <w:rFonts w:hint="eastAsia" w:ascii="楷体" w:hAnsi="楷体" w:eastAsia="楷体" w:cs="楷体"/>
          <w:b/>
          <w:bCs/>
          <w:szCs w:val="21"/>
          <w:u w:val="none"/>
        </w:rPr>
      </w:pPr>
      <w:r>
        <w:rPr>
          <w:rFonts w:hint="eastAsia" w:ascii="楷体" w:hAnsi="楷体" w:eastAsia="楷体" w:cs="楷体"/>
          <w:b/>
          <w:bCs/>
          <w:szCs w:val="21"/>
          <w:u w:val="none"/>
        </w:rPr>
        <w:t>二、客户提示</w:t>
      </w:r>
    </w:p>
    <w:p>
      <w:pPr>
        <w:snapToGrid w:val="0"/>
        <w:spacing w:line="360" w:lineRule="auto"/>
        <w:ind w:firstLine="413" w:firstLineChars="196"/>
        <w:rPr>
          <w:rFonts w:hint="eastAsia" w:ascii="楷体" w:hAnsi="楷体" w:eastAsia="楷体" w:cs="楷体"/>
          <w:b/>
          <w:bCs/>
          <w:color w:val="C00000"/>
          <w:szCs w:val="21"/>
          <w:u w:val="none"/>
        </w:rPr>
      </w:pPr>
      <w:r>
        <w:rPr>
          <w:rFonts w:hint="eastAsia" w:ascii="楷体" w:hAnsi="楷体" w:eastAsia="楷体" w:cs="楷体"/>
          <w:b/>
          <w:bCs/>
          <w:color w:val="C00000"/>
          <w:szCs w:val="21"/>
          <w:u w:val="none"/>
        </w:rPr>
        <w:t>（一）理财非存款、产品有风险、投资须谨慎。</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（二）</w:t>
      </w:r>
      <w:r>
        <w:rPr>
          <w:rFonts w:hint="eastAsia" w:ascii="楷体" w:hAnsi="楷体" w:eastAsia="楷体" w:cs="楷体"/>
          <w:b/>
          <w:bCs/>
          <w:color w:val="000000"/>
          <w:kern w:val="0"/>
          <w:szCs w:val="21"/>
          <w:u w:val="none"/>
        </w:rPr>
        <w:t>理财产品过往业绩不代表其未来表现，不等于理财产品实际收益。</w:t>
      </w:r>
    </w:p>
    <w:p>
      <w:pPr>
        <w:snapToGrid w:val="0"/>
        <w:spacing w:line="360" w:lineRule="auto"/>
        <w:ind w:firstLine="411" w:firstLineChars="196"/>
        <w:rPr>
          <w:rFonts w:hint="eastAsia" w:ascii="楷体" w:hAnsi="楷体" w:eastAsia="楷体" w:cs="楷体"/>
          <w:b w:val="0"/>
          <w:bCs w:val="0"/>
          <w:szCs w:val="21"/>
          <w:u w:val="none"/>
        </w:rPr>
      </w:pPr>
      <w:r>
        <w:rPr>
          <w:rFonts w:hint="eastAsia" w:ascii="楷体" w:hAnsi="楷体" w:eastAsia="楷体" w:cs="楷体"/>
          <w:b w:val="0"/>
          <w:bCs w:val="0"/>
          <w:szCs w:val="21"/>
          <w:u w:val="none"/>
        </w:rPr>
        <w:t>（三）请您在购买本理财产品前仔细阅读本理财产品</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风险揭示书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及</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代理销售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投资协议书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和</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投资者</w:t>
      </w:r>
      <w:r>
        <w:rPr>
          <w:rFonts w:hint="eastAsia" w:ascii="楷体" w:hAnsi="楷体" w:eastAsia="楷体" w:cs="楷体"/>
          <w:b w:val="0"/>
          <w:bCs w:val="0"/>
          <w:szCs w:val="21"/>
          <w:u w:val="none"/>
        </w:rPr>
        <w:t>权益须知</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u w:val="none"/>
        </w:rPr>
        <w:t>（四）请您在购买本理财产品前进行客户风险承受能力评估，如影响您风险承受能力的因素发生变化，请及</w:t>
      </w:r>
      <w:r>
        <w:rPr>
          <w:rFonts w:hint="eastAsia" w:ascii="楷体" w:hAnsi="楷体" w:eastAsia="楷体" w:cs="楷体"/>
          <w:b/>
          <w:bCs/>
          <w:szCs w:val="21"/>
          <w:highlight w:val="none"/>
          <w:u w:val="none"/>
        </w:rPr>
        <w:t>时重新完成风险承受能力评估。</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（五）本理财产品为</w:t>
      </w:r>
      <w:r>
        <w:rPr>
          <w:rFonts w:hint="eastAsia" w:ascii="楷体" w:hAnsi="楷体" w:eastAsia="楷体" w:cs="楷体"/>
          <w:b/>
          <w:bCs/>
          <w:color w:val="auto"/>
          <w:szCs w:val="21"/>
          <w:highlight w:val="none"/>
          <w:u w:val="none"/>
        </w:rPr>
        <w:t>固定收益类</w:t>
      </w:r>
      <w:r>
        <w:rPr>
          <w:rFonts w:hint="eastAsia" w:ascii="楷体" w:hAnsi="楷体" w:eastAsia="楷体" w:cs="楷体"/>
          <w:b/>
          <w:bCs/>
          <w:szCs w:val="21"/>
          <w:highlight w:val="none"/>
          <w:u w:val="none"/>
        </w:rPr>
        <w:t>理财产品，</w:t>
      </w:r>
      <w:r>
        <w:rPr>
          <w:rFonts w:hint="eastAsia" w:ascii="楷体" w:hAnsi="楷体" w:eastAsia="楷体" w:cs="楷体"/>
          <w:b/>
          <w:bCs/>
          <w:color w:val="auto"/>
          <w:szCs w:val="21"/>
          <w:highlight w:val="none"/>
          <w:u w:val="none"/>
          <w:lang w:val="en-US" w:eastAsia="zh-CN"/>
        </w:rPr>
        <w:t>产品</w:t>
      </w:r>
      <w:r>
        <w:rPr>
          <w:rFonts w:hint="eastAsia" w:ascii="楷体" w:hAnsi="楷体" w:eastAsia="楷体" w:cs="楷体"/>
          <w:b/>
          <w:bCs/>
          <w:color w:val="auto"/>
          <w:szCs w:val="21"/>
          <w:highlight w:val="none"/>
          <w:u w:val="none"/>
        </w:rPr>
        <w:t>期限为</w:t>
      </w:r>
      <w:r>
        <w:rPr>
          <w:rFonts w:hint="eastAsia" w:ascii="楷体" w:hAnsi="楷体" w:eastAsia="楷体" w:cs="楷体"/>
          <w:b/>
          <w:bCs/>
          <w:color w:val="auto"/>
          <w:szCs w:val="21"/>
          <w:highlight w:val="none"/>
          <w:u w:val="none"/>
          <w:lang w:eastAsia="zh-CN"/>
        </w:rPr>
        <w:t>【70年】</w:t>
      </w:r>
      <w:r>
        <w:rPr>
          <w:rFonts w:hint="eastAsia" w:ascii="楷体" w:hAnsi="楷体" w:eastAsia="楷体" w:cs="楷体"/>
          <w:b/>
          <w:bCs/>
          <w:color w:val="auto"/>
          <w:szCs w:val="21"/>
          <w:highlight w:val="none"/>
          <w:u w:val="none"/>
        </w:rPr>
        <w:t>（实际</w:t>
      </w:r>
      <w:r>
        <w:rPr>
          <w:rFonts w:hint="eastAsia" w:ascii="楷体" w:hAnsi="楷体" w:eastAsia="楷体" w:cs="楷体"/>
          <w:b/>
          <w:bCs/>
          <w:szCs w:val="21"/>
          <w:highlight w:val="none"/>
          <w:u w:val="none"/>
        </w:rPr>
        <w:t>产品期限将受限于管理人提前终止条款，详见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）。本产品的产品风险评级为</w:t>
      </w:r>
      <w:r>
        <w:rPr>
          <w:rFonts w:hint="eastAsia" w:ascii="楷体" w:hAnsi="楷体" w:eastAsia="楷体" w:cs="楷体"/>
          <w:b/>
          <w:bCs/>
          <w:color w:val="C00000"/>
          <w:szCs w:val="21"/>
          <w:highlight w:val="none"/>
          <w:u w:val="none"/>
        </w:rPr>
        <w:t>中低风险（二级风险）</w:t>
      </w:r>
      <w:r>
        <w:rPr>
          <w:rFonts w:hint="eastAsia" w:ascii="楷体" w:hAnsi="楷体" w:eastAsia="楷体" w:cs="楷体"/>
          <w:b/>
          <w:bCs/>
          <w:szCs w:val="21"/>
          <w:highlight w:val="none"/>
          <w:u w:val="none"/>
        </w:rPr>
        <w:t>，本评级为上银理财内部评级，仅供参考，评级分类参见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b w:val="0"/>
          <w:bCs w:val="0"/>
          <w:color w:val="auto"/>
          <w:u w:val="none"/>
          <w:lang w:eastAsia="zh-CN"/>
        </w:rPr>
        <w:t>【（客户风险承受能力评级为稳健型,平衡型,成长型,进取型）】</w:t>
      </w:r>
    </w:p>
    <w:p>
      <w:pPr>
        <w:ind w:firstLine="840" w:firstLineChars="400"/>
        <w:rPr>
          <w:rFonts w:hint="eastAsia" w:ascii="楷体" w:hAnsi="楷体" w:eastAsia="楷体" w:cs="楷体"/>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color w:val="auto"/>
          <w:szCs w:val="21"/>
          <w:highlight w:val="none"/>
          <w:u w:val="none"/>
        </w:rPr>
        <w:t>（六）本理财产品为</w:t>
      </w:r>
      <w:r>
        <w:rPr>
          <w:rFonts w:hint="eastAsia" w:ascii="楷体" w:hAnsi="楷体" w:eastAsia="楷体" w:cs="楷体"/>
          <w:b/>
          <w:bCs/>
          <w:color w:val="C00000"/>
          <w:szCs w:val="21"/>
          <w:highlight w:val="none"/>
          <w:u w:val="none"/>
        </w:rPr>
        <w:t>非保本浮动收益型</w:t>
      </w:r>
      <w:r>
        <w:rPr>
          <w:rFonts w:hint="eastAsia" w:ascii="楷体" w:hAnsi="楷体" w:eastAsia="楷体" w:cs="楷体"/>
          <w:b/>
          <w:bCs/>
          <w:color w:val="auto"/>
          <w:szCs w:val="21"/>
          <w:highlight w:val="none"/>
          <w:u w:val="none"/>
        </w:rPr>
        <w:t>理财产品，不保证本金和收益，您的本金可能会因市场变动及上述风险因素而蒙受损失，您应充分认识投资风险，谨慎投资</w:t>
      </w:r>
      <w:r>
        <w:rPr>
          <w:rFonts w:hint="eastAsia" w:ascii="楷体" w:hAnsi="楷体" w:eastAsia="楷体" w:cs="楷体"/>
          <w:b/>
          <w:bCs/>
          <w:color w:val="auto"/>
          <w:szCs w:val="21"/>
          <w:u w:val="none"/>
        </w:rPr>
        <w:t>。</w:t>
      </w:r>
    </w:p>
    <w:p>
      <w:pPr>
        <w:snapToGrid w:val="0"/>
        <w:spacing w:line="360" w:lineRule="auto"/>
        <w:ind w:firstLine="422" w:firstLineChars="200"/>
        <w:rPr>
          <w:rFonts w:hint="eastAsia" w:ascii="楷体" w:hAnsi="楷体" w:eastAsia="楷体" w:cs="楷体"/>
          <w:b/>
          <w:bCs/>
          <w:color w:val="000000"/>
          <w:kern w:val="0"/>
          <w:u w:val="none"/>
        </w:rPr>
      </w:pPr>
      <w:bookmarkStart w:id="3" w:name="OLE_LINK2"/>
      <w:r>
        <w:rPr>
          <w:rFonts w:hint="eastAsia" w:ascii="楷体" w:hAnsi="楷体" w:eastAsia="楷体" w:cs="楷体"/>
          <w:b/>
          <w:bCs/>
          <w:color w:val="auto"/>
          <w:kern w:val="0"/>
          <w:szCs w:val="21"/>
          <w:u w:val="none"/>
        </w:rPr>
        <w:t>（七）</w:t>
      </w:r>
      <w:bookmarkEnd w:id="3"/>
      <w:r>
        <w:rPr>
          <w:rFonts w:hint="eastAsia" w:ascii="楷体" w:hAnsi="楷体" w:eastAsia="楷体" w:cs="楷体"/>
          <w:b/>
          <w:bCs/>
          <w:color w:val="auto"/>
          <w:kern w:val="0"/>
          <w:szCs w:val="21"/>
          <w:u w:val="none"/>
        </w:rPr>
        <w:t>产品管理人在此特别披</w:t>
      </w:r>
      <w:r>
        <w:rPr>
          <w:rFonts w:hint="eastAsia" w:ascii="楷体" w:hAnsi="楷体" w:eastAsia="楷体" w:cs="楷体"/>
          <w:b/>
          <w:bCs/>
          <w:spacing w:val="23"/>
          <w:sz w:val="21"/>
          <w:szCs w:val="21"/>
          <w:u w:val="none"/>
        </w:rPr>
        <w:t>露：</w:t>
      </w:r>
      <w:r>
        <w:rPr>
          <w:rFonts w:hint="eastAsia" w:ascii="楷体" w:hAnsi="楷体" w:eastAsia="楷体" w:cs="楷体"/>
          <w:b/>
          <w:bCs/>
          <w:color w:val="auto"/>
          <w:szCs w:val="21"/>
          <w:u w:val="none"/>
          <w:lang w:val="en-US" w:eastAsia="zh-CN"/>
        </w:rPr>
        <w:t>【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p>
    <w:p>
      <w:pPr>
        <w:snapToGrid w:val="0"/>
        <w:spacing w:line="360" w:lineRule="auto"/>
        <w:ind w:firstLine="420" w:firstLineChars="200"/>
        <w:rPr>
          <w:rFonts w:hint="eastAsia" w:ascii="楷体" w:hAnsi="楷体" w:eastAsia="楷体" w:cs="楷体"/>
          <w:b w:val="0"/>
          <w:bCs w:val="0"/>
          <w:color w:val="000000"/>
          <w:kern w:val="0"/>
          <w:szCs w:val="21"/>
          <w:u w:val="none"/>
        </w:rPr>
      </w:pPr>
      <w:r>
        <w:rPr>
          <w:rFonts w:hint="eastAsia" w:ascii="楷体" w:hAnsi="楷体" w:eastAsia="楷体" w:cs="楷体"/>
          <w:b w:val="0"/>
          <w:bCs w:val="0"/>
          <w:color w:val="000000"/>
          <w:kern w:val="0"/>
          <w:szCs w:val="21"/>
          <w:u w:val="none"/>
        </w:rPr>
        <w:t>（八）在购买本理财产品后，请您随时关注本理财产品的信息披露情况，及时获取相关信息。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申购决定。</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三、最不利投资情形下风险示例</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color w:val="auto"/>
          <w:kern w:val="0"/>
          <w:szCs w:val="21"/>
          <w:u w:val="none"/>
        </w:rPr>
      </w:pPr>
      <w:r>
        <w:rPr>
          <w:rFonts w:hint="eastAsia" w:ascii="楷体" w:hAnsi="楷体" w:eastAsia="楷体" w:cs="楷体"/>
          <w:b/>
          <w:bCs/>
          <w:color w:val="auto"/>
          <w:kern w:val="0"/>
          <w:szCs w:val="21"/>
          <w:u w:val="none"/>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ind w:firstLine="0" w:firstLineChars="0"/>
        <w:jc w:val="right"/>
        <w:rPr>
          <w:rFonts w:hint="eastAsia" w:ascii="楷体" w:hAnsi="楷体" w:eastAsia="楷体" w:cs="楷体"/>
          <w:b/>
          <w:bCs/>
          <w:szCs w:val="21"/>
          <w:u w:val="none"/>
        </w:rPr>
      </w:pPr>
    </w:p>
    <w:p>
      <w:pPr>
        <w:jc w:val="right"/>
        <w:outlineLvl w:val="9"/>
        <w:rPr>
          <w:rFonts w:hint="eastAsia" w:ascii="楷体" w:hAnsi="楷体" w:eastAsia="楷体" w:cs="楷体"/>
          <w:b/>
          <w:bCs/>
          <w:szCs w:val="21"/>
          <w:u w:val="none"/>
        </w:rPr>
      </w:pPr>
      <w:r>
        <w:rPr>
          <w:rFonts w:hint="eastAsia" w:ascii="楷体" w:hAnsi="楷体" w:eastAsia="楷体" w:cs="楷体"/>
          <w:b/>
          <w:bCs/>
          <w:szCs w:val="21"/>
          <w:u w:val="none"/>
        </w:rPr>
        <w:t>提示方：上银理财有限责任公司</w:t>
      </w:r>
    </w:p>
    <w:p>
      <w:pPr>
        <w:rPr>
          <w:rFonts w:hint="eastAsia" w:ascii="楷体_GB2312" w:hAnsi="宋体" w:eastAsia="楷体_GB2312"/>
          <w:b/>
          <w:bCs/>
          <w:szCs w:val="21"/>
          <w:u w:val="none"/>
        </w:rPr>
      </w:pPr>
      <w:r>
        <w:rPr>
          <w:rFonts w:hint="eastAsia" w:ascii="楷体_GB2312" w:hAnsi="宋体" w:eastAsia="楷体_GB2312"/>
          <w:b/>
          <w:bCs/>
          <w:szCs w:val="21"/>
          <w:u w:val="none"/>
        </w:rPr>
        <w:br w:type="page"/>
      </w:r>
    </w:p>
    <w:p>
      <w:pPr>
        <w:ind w:firstLine="422" w:firstLineChars="200"/>
        <w:jc w:val="center"/>
        <w:outlineLvl w:val="0"/>
        <w:rPr>
          <w:rFonts w:ascii="楷体" w:hAnsi="楷体" w:eastAsia="楷体"/>
          <w:b/>
          <w:bCs/>
          <w:u w:val="none"/>
        </w:rPr>
      </w:pPr>
      <w:r>
        <w:rPr>
          <w:rFonts w:hint="eastAsia" w:ascii="楷体" w:hAnsi="楷体" w:eastAsia="楷体"/>
          <w:b/>
          <w:bCs/>
          <w:u w:val="none"/>
        </w:rPr>
        <w:t>客户确认栏</w:t>
      </w:r>
      <w:bookmarkStart w:id="4" w:name="_GoBack"/>
      <w:bookmarkEnd w:id="4"/>
    </w:p>
    <w:p>
      <w:pPr>
        <w:ind w:firstLine="422" w:firstLineChars="200"/>
        <w:rPr>
          <w:rFonts w:ascii="楷体" w:hAnsi="楷体" w:eastAsia="楷体"/>
          <w:b/>
          <w:bCs/>
          <w:u w:val="none"/>
        </w:rPr>
      </w:pP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本人/本机构</w:t>
      </w:r>
      <w:r>
        <w:rPr>
          <w:rFonts w:ascii="楷体" w:hAnsi="楷体" w:eastAsia="楷体"/>
          <w:b/>
          <w:bCs/>
          <w:u w:val="none"/>
        </w:rPr>
        <w:t>同时</w:t>
      </w:r>
      <w:r>
        <w:rPr>
          <w:rFonts w:hint="eastAsia" w:ascii="楷体" w:hAnsi="楷体" w:eastAsia="楷体"/>
          <w:b/>
          <w:bCs/>
          <w:u w:val="none"/>
        </w:rPr>
        <w:t>确认如下：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※客户风险承受能力评级：（必须由客户填写）</w:t>
      </w:r>
    </w:p>
    <w:p>
      <w:pPr>
        <w:ind w:firstLine="422" w:firstLineChars="200"/>
        <w:rPr>
          <w:rFonts w:ascii="楷体" w:hAnsi="楷体" w:eastAsia="楷体"/>
          <w:b/>
          <w:bCs/>
          <w:u w:val="none"/>
        </w:rPr>
      </w:pPr>
      <w:r>
        <w:rPr>
          <w:rFonts w:hint="eastAsia" w:ascii="楷体" w:hAnsi="楷体" w:eastAsia="楷体"/>
          <w:b/>
          <w:bCs/>
          <w:u w:val="single"/>
        </w:rPr>
        <w:t xml:space="preserve">                             </w:t>
      </w:r>
      <w:r>
        <w:rPr>
          <w:rFonts w:hint="eastAsia" w:ascii="楷体" w:hAnsi="楷体" w:eastAsia="楷体"/>
          <w:b/>
          <w:bCs/>
          <w:u w:val="none"/>
        </w:rPr>
        <w:t>（保守型 / 稳健型 / 平衡型 / 成长型 / 进取型）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※客户声明并抄录以下内容：</w:t>
      </w:r>
    </w:p>
    <w:p>
      <w:pPr>
        <w:ind w:firstLine="422" w:firstLineChars="200"/>
        <w:rPr>
          <w:rFonts w:ascii="楷体" w:hAnsi="楷体" w:eastAsia="楷体"/>
          <w:b/>
          <w:bCs/>
          <w:u w:val="none"/>
        </w:rPr>
      </w:pPr>
      <w:r>
        <w:rPr>
          <w:rFonts w:hint="eastAsia" w:ascii="楷体" w:hAnsi="楷体" w:eastAsia="楷体"/>
          <w:b/>
          <w:bCs/>
          <w:u w:val="none"/>
        </w:rPr>
        <w:t>“本人/本机构已经阅读风险揭示，充分了解并清楚知晓</w:t>
      </w:r>
      <w:r>
        <w:rPr>
          <w:rFonts w:ascii="楷体" w:hAnsi="楷体" w:eastAsia="楷体"/>
          <w:b/>
          <w:bCs/>
          <w:u w:val="none"/>
        </w:rPr>
        <w:t>本理财</w:t>
      </w:r>
      <w:r>
        <w:rPr>
          <w:rFonts w:hint="eastAsia" w:ascii="楷体" w:hAnsi="楷体" w:eastAsia="楷体"/>
          <w:b/>
          <w:bCs/>
          <w:u w:val="none"/>
        </w:rPr>
        <w:t>产品</w:t>
      </w:r>
      <w:r>
        <w:rPr>
          <w:rFonts w:ascii="楷体" w:hAnsi="楷体" w:eastAsia="楷体"/>
          <w:b/>
          <w:bCs/>
          <w:u w:val="none"/>
        </w:rPr>
        <w:t>的风险</w:t>
      </w:r>
      <w:r>
        <w:rPr>
          <w:rFonts w:hint="eastAsia" w:ascii="楷体" w:hAnsi="楷体" w:eastAsia="楷体"/>
          <w:b/>
          <w:bCs/>
          <w:u w:val="none"/>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u w:val="none"/>
        </w:rPr>
      </w:pPr>
    </w:p>
    <w:p>
      <w:pPr>
        <w:rPr>
          <w:u w:val="none"/>
        </w:rPr>
      </w:pPr>
      <w:r>
        <w:rPr>
          <w:rFonts w:hint="eastAsia" w:ascii="楷体" w:hAnsi="楷体" w:eastAsia="楷体"/>
          <w:b/>
          <w:bCs/>
          <w:u w:val="none"/>
        </w:rPr>
        <w:t>确认人（签字</w:t>
      </w:r>
      <w:r>
        <w:rPr>
          <w:rFonts w:hint="eastAsia" w:ascii="楷体" w:hAnsi="楷体" w:eastAsia="楷体"/>
          <w:b/>
          <w:bCs/>
          <w:u w:val="none"/>
          <w:lang w:val="en-US" w:eastAsia="zh-CN"/>
        </w:rPr>
        <w:t>/签章</w:t>
      </w:r>
      <w:r>
        <w:rPr>
          <w:rFonts w:hint="eastAsia" w:ascii="楷体" w:hAnsi="楷体" w:eastAsia="楷体"/>
          <w:b/>
          <w:bCs/>
          <w:u w:val="none"/>
        </w:rPr>
        <w:t>）：</w:t>
      </w:r>
      <w:r>
        <w:rPr>
          <w:rFonts w:hint="eastAsia" w:ascii="楷体" w:hAnsi="楷体" w:eastAsia="楷体"/>
          <w:b/>
          <w:bCs/>
          <w:u w:val="single"/>
        </w:rPr>
        <w:t xml:space="preserve">                       </w:t>
      </w:r>
      <w:r>
        <w:rPr>
          <w:rFonts w:hint="eastAsia" w:ascii="楷体" w:hAnsi="楷体" w:eastAsia="楷体"/>
          <w:b/>
          <w:bCs/>
          <w:u w:val="none"/>
        </w:rPr>
        <w:t xml:space="preserve">      日期：</w:t>
      </w:r>
      <w:r>
        <w:rPr>
          <w:rFonts w:hint="eastAsia" w:ascii="楷体" w:hAnsi="楷体" w:eastAsia="楷体"/>
          <w:b/>
          <w:bCs/>
          <w:u w:val="single"/>
        </w:rPr>
        <w:t xml:space="preserve">     </w:t>
      </w:r>
      <w:r>
        <w:rPr>
          <w:rFonts w:hint="eastAsia" w:ascii="楷体" w:hAnsi="楷体" w:eastAsia="楷体"/>
          <w:b/>
          <w:bCs/>
          <w:u w:val="none"/>
        </w:rPr>
        <w:t>年</w:t>
      </w:r>
      <w:r>
        <w:rPr>
          <w:rFonts w:hint="eastAsia" w:ascii="楷体" w:hAnsi="楷体" w:eastAsia="楷体"/>
          <w:b/>
          <w:bCs/>
          <w:u w:val="single"/>
        </w:rPr>
        <w:t xml:space="preserve">     </w:t>
      </w:r>
      <w:r>
        <w:rPr>
          <w:rFonts w:hint="eastAsia" w:ascii="楷体" w:hAnsi="楷体" w:eastAsia="楷体"/>
          <w:b/>
          <w:bCs/>
          <w:u w:val="none"/>
        </w:rPr>
        <w:t>月</w:t>
      </w:r>
      <w:r>
        <w:rPr>
          <w:rFonts w:hint="eastAsia" w:ascii="楷体" w:hAnsi="楷体" w:eastAsia="楷体"/>
          <w:b/>
          <w:bCs/>
          <w:u w:val="single"/>
        </w:rPr>
        <w:t xml:space="preserve">     </w:t>
      </w:r>
      <w:r>
        <w:rPr>
          <w:rFonts w:hint="eastAsia" w:ascii="楷体" w:hAnsi="楷体" w:eastAsia="楷体"/>
          <w:b/>
          <w:bCs/>
          <w:u w:val="none"/>
        </w:rPr>
        <w:t>日</w:t>
      </w:r>
    </w:p>
    <w:p>
      <w:pPr>
        <w:ind w:firstLine="0" w:firstLineChars="0"/>
        <w:rPr>
          <w:rFonts w:hint="eastAsia" w:ascii="楷体_GB2312" w:hAnsi="宋体" w:eastAsia="楷体_GB2312"/>
          <w:b/>
          <w:bCs/>
          <w:szCs w:val="21"/>
          <w:u w:val="none"/>
        </w:rPr>
      </w:pPr>
    </w:p>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lang w:eastAsia="zh-CN"/>
      </w:rPr>
      <w:tab/>
    </w:r>
    <w:r>
      <w:rPr>
        <w:rFonts w:hint="eastAsia"/>
        <w:b/>
        <w:bCs/>
        <w:u w:val="none"/>
        <w:lang w:val="en-US" w:eastAsia="zh-CN"/>
      </w:rPr>
      <w:t>理财非存款、产品有风险、投资须谨慎</w:t>
    </w:r>
  </w:p>
  <w:p>
    <w:pPr>
      <w:pStyle w:val="4"/>
      <w:pBdr>
        <w:bottom w:val="none" w:color="auto" w:sz="0" w:space="1"/>
      </w:pBdr>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782CD7"/>
    <w:rsid w:val="46782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2026-09-07T07:43:00Z</dcterms:created>
  <dc:creator>周 翔</dc:creator>
  <cp:lastModifiedBy>周 翔</cp:lastModifiedBy>
  <dcterms:modified xsi:type="dcterms:W3CDTF">2026-09-07T07:43:37Z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